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r>
        <w:rPr>
          <w:rFonts w:hint="eastAsia" w:ascii="宋体" w:hAnsi="宋体" w:eastAsiaTheme="minorEastAsia"/>
          <w:b w:val="0"/>
          <w:bCs w:val="0"/>
          <w:color w:val="000000"/>
          <w:sz w:val="24"/>
        </w:rPr>
        <w:t>厦门港务疏浚工程有限公司</w:t>
      </w:r>
    </w:p>
    <w:p>
      <w:pPr>
        <w:spacing w:line="480" w:lineRule="exact"/>
        <w:rPr>
          <w:rFonts w:ascii="宋体" w:hAnsi="宋体"/>
          <w:sz w:val="24"/>
        </w:rPr>
      </w:pPr>
      <w:r>
        <w:rPr>
          <w:rFonts w:hint="eastAsia" w:ascii="宋体" w:hAnsi="宋体"/>
          <w:sz w:val="24"/>
        </w:rPr>
        <w:t>统一社会信用代码：</w:t>
      </w:r>
      <w:r>
        <w:rPr>
          <w:rFonts w:hint="eastAsia" w:ascii="宋体" w:hAnsi="宋体" w:cstheme="minorBidi"/>
          <w:kern w:val="2"/>
          <w:sz w:val="24"/>
          <w:szCs w:val="24"/>
        </w:rPr>
        <w:t>913502001549820436</w:t>
      </w:r>
    </w:p>
    <w:p>
      <w:pPr>
        <w:spacing w:line="480" w:lineRule="exact"/>
        <w:rPr>
          <w:rFonts w:ascii="宋体" w:hAnsi="宋体"/>
          <w:sz w:val="24"/>
        </w:rPr>
      </w:pPr>
      <w:r>
        <w:rPr>
          <w:rFonts w:hint="eastAsia" w:ascii="宋体" w:hAnsi="宋体"/>
          <w:sz w:val="24"/>
        </w:rPr>
        <w:t>联系地址：</w:t>
      </w:r>
      <w:r>
        <w:rPr>
          <w:rFonts w:hint="eastAsia" w:ascii="宋体" w:hAnsi="宋体" w:eastAsiaTheme="minorEastAsia"/>
          <w:b w:val="0"/>
          <w:bCs w:val="0"/>
          <w:color w:val="000000"/>
          <w:sz w:val="24"/>
        </w:rPr>
        <w:t>厦门市东渡路125号之二</w:t>
      </w:r>
    </w:p>
    <w:p>
      <w:pPr>
        <w:spacing w:line="480" w:lineRule="exact"/>
        <w:rPr>
          <w:rFonts w:hint="eastAsia" w:ascii="宋体" w:hAnsi="宋体" w:eastAsiaTheme="minorEastAsia"/>
          <w:sz w:val="24"/>
          <w:lang w:val="en-US" w:eastAsia="zh-CN"/>
        </w:rPr>
      </w:pPr>
      <w:r>
        <w:rPr>
          <w:rFonts w:hint="eastAsia" w:ascii="宋体" w:hAnsi="宋体"/>
          <w:sz w:val="24"/>
        </w:rPr>
        <w:t>法定代表人或授权代表：</w:t>
      </w:r>
      <w:r>
        <w:rPr>
          <w:rFonts w:hint="eastAsia" w:ascii="宋体" w:hAnsi="宋体"/>
          <w:sz w:val="24"/>
          <w:lang w:val="en-US" w:eastAsia="zh-CN"/>
        </w:rPr>
        <w:t>范辉</w:t>
      </w:r>
    </w:p>
    <w:p>
      <w:pPr>
        <w:spacing w:line="480" w:lineRule="exact"/>
        <w:rPr>
          <w:rFonts w:hint="eastAsia"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李玉琳   </w:t>
      </w:r>
      <w:r>
        <w:rPr>
          <w:rFonts w:hint="eastAsia" w:ascii="宋体" w:hAnsi="宋体"/>
          <w:sz w:val="24"/>
        </w:rPr>
        <w:t xml:space="preserve"> 联系方式：</w:t>
      </w:r>
      <w:r>
        <w:rPr>
          <w:rFonts w:hint="eastAsia" w:ascii="宋体" w:hAnsi="宋体"/>
          <w:sz w:val="24"/>
          <w:lang w:val="en-US" w:eastAsia="zh-CN"/>
        </w:rPr>
        <w:t>5833659</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lang w:val="en-US" w:eastAsia="zh-CN"/>
        </w:rPr>
        <w:t>福建</w:t>
      </w:r>
      <w:r>
        <w:rPr>
          <w:rFonts w:hint="eastAsia" w:ascii="宋体" w:hAnsi="宋体"/>
          <w:sz w:val="24"/>
          <w:u w:val="single"/>
        </w:rPr>
        <w:t>省</w:t>
      </w:r>
      <w:r>
        <w:rPr>
          <w:rFonts w:hint="eastAsia" w:ascii="宋体" w:hAnsi="宋体"/>
          <w:sz w:val="24"/>
          <w:u w:val="single"/>
          <w:lang w:val="en-US" w:eastAsia="zh-CN"/>
        </w:rPr>
        <w:t>厦门</w:t>
      </w:r>
      <w:r>
        <w:rPr>
          <w:rFonts w:hint="eastAsia" w:ascii="宋体" w:hAnsi="宋体"/>
          <w:sz w:val="24"/>
          <w:u w:val="single"/>
        </w:rPr>
        <w:t>市</w:t>
      </w:r>
      <w:r>
        <w:rPr>
          <w:rFonts w:hint="eastAsia" w:ascii="宋体" w:hAnsi="宋体"/>
          <w:sz w:val="24"/>
          <w:u w:val="single"/>
          <w:lang w:val="en-US" w:eastAsia="zh-CN"/>
        </w:rPr>
        <w:t>湖里区</w:t>
      </w:r>
      <w:r>
        <w:rPr>
          <w:rFonts w:hint="eastAsia" w:ascii="宋体" w:hAnsi="宋体"/>
          <w:sz w:val="24"/>
          <w:u w:val="single"/>
        </w:rPr>
        <w:t xml:space="preserve">     </w:t>
      </w:r>
      <w:r>
        <w:rPr>
          <w:rFonts w:hint="eastAsia" w:ascii="宋体" w:hAnsi="宋体"/>
          <w:sz w:val="24"/>
          <w:u w:val="single"/>
          <w:lang w:val="en-US" w:eastAsia="zh-CN"/>
        </w:rPr>
        <w:t>双狮山</w:t>
      </w:r>
      <w:r>
        <w:rPr>
          <w:rFonts w:hint="eastAsia" w:ascii="宋体" w:hAnsi="宋体"/>
          <w:sz w:val="24"/>
          <w:u w:val="single"/>
        </w:rPr>
        <w:t>路</w:t>
      </w:r>
      <w:r>
        <w:rPr>
          <w:rFonts w:hint="eastAsia" w:ascii="宋体" w:hAnsi="宋体"/>
          <w:sz w:val="24"/>
          <w:u w:val="single"/>
          <w:lang w:val="en-US" w:eastAsia="zh-CN"/>
        </w:rPr>
        <w:t>33-35</w:t>
      </w:r>
      <w:r>
        <w:rPr>
          <w:rFonts w:hint="eastAsia" w:ascii="宋体" w:hAnsi="宋体"/>
          <w:sz w:val="24"/>
          <w:u w:val="single"/>
        </w:rPr>
        <w:t xml:space="preserve"> 号</w:t>
      </w:r>
      <w:r>
        <w:rPr>
          <w:rFonts w:ascii="宋体" w:hAnsi="宋体" w:cs="宋体"/>
          <w:kern w:val="0"/>
          <w:sz w:val="24"/>
        </w:rPr>
        <w:t>建筑面积</w:t>
      </w:r>
      <w:r>
        <w:rPr>
          <w:rFonts w:hint="eastAsia" w:ascii="宋体" w:hAnsi="宋体"/>
          <w:sz w:val="24"/>
        </w:rPr>
        <w:t>为</w:t>
      </w:r>
      <w:r>
        <w:rPr>
          <w:rFonts w:hint="eastAsia" w:ascii="宋体" w:hAnsi="宋体"/>
          <w:sz w:val="24"/>
          <w:u w:val="single"/>
          <w:lang w:val="en-US" w:eastAsia="zh-CN"/>
        </w:rPr>
        <w:t xml:space="preserve"> 20</w:t>
      </w:r>
      <w:r>
        <w:rPr>
          <w:rFonts w:hint="eastAsia" w:ascii="宋体" w:hAnsi="宋体"/>
          <w:sz w:val="24"/>
        </w:rPr>
        <w:t>平方米的</w:t>
      </w:r>
      <w:bookmarkStart w:id="0" w:name="_GoBack"/>
      <w:bookmarkEnd w:id="0"/>
      <w:r>
        <w:rPr>
          <w:rFonts w:hint="eastAsia" w:ascii="宋体" w:hAnsi="宋体"/>
          <w:sz w:val="24"/>
          <w:lang w:val="en-US" w:eastAsia="zh-CN"/>
        </w:rPr>
        <w:t xml:space="preserve"> </w:t>
      </w:r>
      <w:r>
        <w:rPr>
          <w:rFonts w:hint="eastAsia" w:ascii="宋体" w:hAnsi="宋体"/>
          <w:b w:val="0"/>
          <w:sz w:val="24"/>
          <w:u w:val="single"/>
          <w:lang w:val="en-US" w:eastAsia="zh-CN"/>
        </w:rPr>
        <w:t xml:space="preserve">库房 </w:t>
      </w:r>
      <w:r>
        <w:rPr>
          <w:rFonts w:hint="eastAsia" w:ascii="宋体" w:hAnsi="宋体"/>
          <w:sz w:val="24"/>
        </w:rPr>
        <w:t>租赁给乙方使用，乙方仅对上述承租范围内租赁物面积拥有承租使用权。</w:t>
      </w:r>
    </w:p>
    <w:p>
      <w:pPr>
        <w:widowControl/>
        <w:spacing w:line="480" w:lineRule="exact"/>
        <w:ind w:firstLine="470" w:firstLineChars="196"/>
        <w:jc w:val="left"/>
        <w:rPr>
          <w:sz w:val="24"/>
        </w:rPr>
      </w:pPr>
      <w:r>
        <w:rPr>
          <w:rFonts w:hint="eastAsia" w:ascii="宋体" w:hAnsi="宋体"/>
          <w:sz w:val="24"/>
        </w:rPr>
        <w:t>2.乙方承租的以上第一条1项的租赁物用途</w:t>
      </w:r>
      <w:r>
        <w:rPr>
          <w:rFonts w:hint="eastAsia" w:ascii="宋体" w:hAnsi="宋体"/>
          <w:sz w:val="24"/>
          <w:u w:val="none"/>
        </w:rPr>
        <w:t>为</w:t>
      </w:r>
      <w:r>
        <w:rPr>
          <w:rFonts w:hint="eastAsia" w:ascii="宋体" w:hAnsi="宋体" w:eastAsiaTheme="minorEastAsia"/>
          <w:b w:val="0"/>
          <w:sz w:val="24"/>
          <w:u w:val="single"/>
        </w:rPr>
        <w:t>不得经营高噪音高污染等扰民行业，不得用于食品加工及生产、加工、仓储危险品</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lang w:val="en-US" w:eastAsia="zh-CN"/>
        </w:rPr>
        <w:t>60</w:t>
      </w:r>
      <w:r>
        <w:rPr>
          <w:rFonts w:hint="eastAsia" w:ascii="宋体" w:hAnsi="宋体"/>
          <w:sz w:val="24"/>
        </w:rPr>
        <w:t>个月，具体为下列第</w:t>
      </w:r>
      <w:r>
        <w:rPr>
          <w:rFonts w:hint="eastAsia" w:ascii="宋体" w:hAnsi="宋体"/>
          <w:sz w:val="24"/>
          <w:u w:val="single"/>
        </w:rPr>
        <w:t xml:space="preserve">  （1）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1"/>
          <w:numId w:val="0"/>
        </w:numPr>
        <w:spacing w:before="156" w:beforeLines="50" w:after="156" w:afterLines="50" w:line="480" w:lineRule="exact"/>
        <w:ind w:firstLine="0"/>
        <w:jc w:val="center"/>
        <w:rPr>
          <w:rFonts w:ascii="宋体" w:hAnsi="宋体"/>
          <w:b/>
          <w:sz w:val="24"/>
        </w:rPr>
      </w:pPr>
      <w:r>
        <w:rPr>
          <w:rFonts w:hint="eastAsia" w:ascii="宋体" w:hAnsi="宋体"/>
          <w:b/>
          <w:sz w:val="24"/>
          <w:lang w:val="en-US" w:eastAsia="zh-CN"/>
        </w:rPr>
        <w:t xml:space="preserve">第四条 </w:t>
      </w: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）从20     年     月     日至20     年    月     日，每月租金     元（大写:                元整）。</w:t>
      </w:r>
    </w:p>
    <w:p>
      <w:pPr>
        <w:widowControl/>
        <w:numPr>
          <w:ilvl w:val="0"/>
          <w:numId w:val="1"/>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季度 </w:t>
      </w:r>
      <w:r>
        <w:rPr>
          <w:rFonts w:hint="eastAsia" w:ascii="宋体" w:hAnsi="宋体" w:cs="宋体"/>
          <w:kern w:val="0"/>
          <w:sz w:val="24"/>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（1）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       </w:t>
      </w:r>
      <w:r>
        <w:rPr>
          <w:rFonts w:hint="eastAsia" w:ascii="楷体_GB2312" w:hAnsi="楷体_GB2312" w:eastAsia="楷体_GB2312" w:cs="楷体_GB2312"/>
          <w:b/>
          <w:bCs/>
          <w:kern w:val="0"/>
          <w:sz w:val="24"/>
          <w:u w:val="single"/>
          <w:lang w:val="en-US" w:eastAsia="zh-CN"/>
        </w:rPr>
        <w:t>。</w:t>
      </w:r>
    </w:p>
    <w:p>
      <w:pPr>
        <w:widowControl/>
        <w:numPr>
          <w:ilvl w:val="0"/>
          <w:numId w:val="2"/>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若乙方未遵守安全责任协议书约定或法律规定之乙方安全责任，经甲方提出后【</w:t>
      </w:r>
      <w:r>
        <w:rPr>
          <w:rFonts w:hint="eastAsia" w:ascii="宋体" w:hAnsi="宋体"/>
          <w:sz w:val="24"/>
          <w:lang w:val="en-US" w:eastAsia="zh-CN"/>
        </w:rPr>
        <w:t>5</w:t>
      </w:r>
      <w:r>
        <w:rPr>
          <w:rFonts w:hint="eastAsia" w:ascii="宋体" w:hAnsi="宋体"/>
          <w:sz w:val="24"/>
        </w:rPr>
        <w:t>】日内未整改，甲方有权解除租赁合同。</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eastAsia="楷体_GB2312"/>
          <w:b w:val="0"/>
          <w:bCs/>
          <w:sz w:val="24"/>
          <w:lang w:val="en-US" w:eastAsia="zh-CN"/>
        </w:rPr>
        <w:t>9.</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0" w:firstLineChars="200"/>
        <w:rPr>
          <w:rFonts w:ascii="宋体" w:hAnsi="宋体"/>
          <w:sz w:val="24"/>
        </w:rPr>
      </w:pPr>
      <w:r>
        <w:rPr>
          <w:rFonts w:hint="eastAsia" w:ascii="宋体" w:hAnsi="宋体" w:eastAsia="楷体_GB2312"/>
          <w:b w:val="0"/>
          <w:bCs/>
          <w:sz w:val="24"/>
          <w:lang w:eastAsia="zh-CN"/>
        </w:rPr>
        <w:t>1</w:t>
      </w:r>
      <w:r>
        <w:rPr>
          <w:rFonts w:hint="eastAsia" w:ascii="宋体" w:hAnsi="宋体" w:eastAsia="楷体_GB2312"/>
          <w:b w:val="0"/>
          <w:bCs/>
          <w:sz w:val="24"/>
          <w:lang w:val="en-US" w:eastAsia="zh-CN"/>
        </w:rPr>
        <w:t>0.</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0" w:firstLineChars="200"/>
        <w:rPr>
          <w:rFonts w:ascii="宋体" w:hAnsi="宋体"/>
          <w:sz w:val="24"/>
        </w:rPr>
      </w:pPr>
      <w:r>
        <w:rPr>
          <w:rFonts w:hint="eastAsia" w:ascii="宋体" w:hAnsi="宋体" w:eastAsia="楷体_GB2312"/>
          <w:b w:val="0"/>
          <w:bCs/>
          <w:sz w:val="24"/>
          <w:lang w:val="en-US" w:eastAsia="zh-CN"/>
        </w:rPr>
        <w:t>11.</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lang w:val="en-US" w:eastAsia="zh-CN"/>
        </w:rPr>
        <w:t>12</w:t>
      </w:r>
      <w:r>
        <w:rPr>
          <w:rFonts w:hint="eastAsia" w:ascii="宋体" w:hAnsi="宋体"/>
          <w:sz w:val="24"/>
        </w:rPr>
        <w:t>.因乙方存在本条各款约定的行为，导致甲方被第三人追究责任或甲方代为向第三人承担责任的，甲方有权向乙方全额追偿。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b/>
          <w:bCs/>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w:t>
      </w:r>
      <w:r>
        <w:rPr>
          <w:rFonts w:hint="eastAsia"/>
          <w:b/>
          <w:bCs/>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b/>
          <w:bCs/>
          <w:sz w:val="24"/>
        </w:rPr>
        <w:t>5</w:t>
      </w:r>
      <w:r>
        <w:rPr>
          <w:rFonts w:hint="eastAsia"/>
          <w:sz w:val="24"/>
        </w:rPr>
        <w:t>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3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lang w:val="en-US" w:eastAsia="zh-CN"/>
        </w:rPr>
        <w:t>贰</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r>
        <w:rPr>
          <w:rFonts w:hint="eastAsia" w:ascii="宋体" w:hAnsi="宋体"/>
          <w:sz w:val="24"/>
          <w:u w:val="single"/>
          <w:lang w:val="en-US" w:eastAsia="zh-CN"/>
        </w:rPr>
        <w:t>无</w:t>
      </w:r>
      <w:r>
        <w:rPr>
          <w:rFonts w:hint="eastAsia" w:ascii="宋体" w:hAnsi="宋体"/>
          <w:sz w:val="24"/>
          <w:u w:val="single"/>
        </w:rPr>
        <w:t xml:space="preserve">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numPr>
          <w:ilvl w:val="0"/>
          <w:numId w:val="6"/>
        </w:numPr>
        <w:spacing w:line="480" w:lineRule="exact"/>
        <w:ind w:left="480"/>
        <w:rPr>
          <w:rFonts w:hint="eastAsia" w:ascii="宋体" w:hAnsi="宋体"/>
          <w:sz w:val="24"/>
          <w:lang w:val="en-US" w:eastAsia="zh-CN"/>
        </w:rPr>
      </w:pPr>
      <w:r>
        <w:rPr>
          <w:rFonts w:hint="eastAsia" w:ascii="宋体" w:hAnsi="宋体"/>
          <w:sz w:val="24"/>
          <w:lang w:val="en-US" w:eastAsia="zh-CN"/>
        </w:rPr>
        <w:t>安全协议</w:t>
      </w:r>
    </w:p>
    <w:p>
      <w:pPr>
        <w:numPr>
          <w:ilvl w:val="-1"/>
          <w:numId w:val="0"/>
        </w:numPr>
        <w:spacing w:line="480" w:lineRule="exact"/>
        <w:ind w:left="480"/>
        <w:rPr>
          <w:rFonts w:hint="default" w:ascii="宋体" w:hAnsi="宋体"/>
          <w:sz w:val="24"/>
          <w:lang w:val="en-US" w:eastAsia="zh-CN"/>
        </w:rPr>
      </w:pP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eastAsia="zh-CN"/>
        </w:rPr>
        <w:br w:type="page"/>
      </w: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ascii="宋体" w:hAnsi="宋体"/>
          <w:sz w:val="24"/>
          <w:u w:val="single"/>
        </w:rPr>
      </w:pPr>
      <w:r>
        <w:rPr>
          <w:rFonts w:hint="eastAsia" w:ascii="宋体" w:hAnsi="宋体"/>
          <w:sz w:val="24"/>
        </w:rPr>
        <w:t>住所：厦门市湖里区东渡路125号之二</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厦门港务疏浚工程有限公司    </w:t>
      </w:r>
    </w:p>
    <w:p>
      <w:pPr>
        <w:spacing w:before="156" w:beforeLines="50" w:after="156" w:afterLines="50" w:line="480" w:lineRule="exact"/>
        <w:rPr>
          <w:rFonts w:ascii="宋体" w:hAnsi="宋体"/>
          <w:sz w:val="24"/>
        </w:rPr>
      </w:pPr>
      <w:r>
        <w:rPr>
          <w:rFonts w:hint="eastAsia" w:ascii="宋体" w:hAnsi="宋体"/>
          <w:sz w:val="24"/>
        </w:rPr>
        <w:t xml:space="preserve">开户银行：工行厦门东渡支行               </w:t>
      </w:r>
    </w:p>
    <w:p>
      <w:pPr>
        <w:spacing w:before="156" w:beforeLines="50" w:after="156" w:afterLines="50" w:line="480" w:lineRule="exact"/>
        <w:rPr>
          <w:rFonts w:ascii="宋体" w:hAnsi="宋体"/>
          <w:sz w:val="24"/>
          <w:u w:val="single"/>
        </w:rPr>
      </w:pPr>
      <w:r>
        <w:rPr>
          <w:rFonts w:hint="eastAsia" w:ascii="宋体" w:hAnsi="宋体"/>
          <w:sz w:val="24"/>
        </w:rPr>
        <w:t>账号：4100023609022101088</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pPr>
        <w:shd w:val="clear" w:color="auto" w:fill="FFFFFF"/>
        <w:snapToGrid w:val="0"/>
        <w:rPr>
          <w:rFonts w:hint="eastAsia" w:ascii="宋体" w:hAnsi="宋体"/>
          <w:sz w:val="24"/>
        </w:rPr>
      </w:pPr>
    </w:p>
    <w:p>
      <w:pPr>
        <w:spacing w:before="156" w:beforeLines="50" w:after="156" w:afterLines="50" w:line="480" w:lineRule="exact"/>
        <w:rPr>
          <w:rFonts w:ascii="宋体" w:hAnsi="宋体"/>
          <w:b/>
          <w:bCs/>
          <w:szCs w:val="21"/>
        </w:rPr>
      </w:pPr>
      <w:r>
        <w:rPr>
          <w:rFonts w:hint="eastAsia" w:ascii="宋体" w:hAnsi="宋体"/>
          <w:b/>
          <w:bCs/>
          <w:szCs w:val="21"/>
        </w:rPr>
        <w:t>附件1</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default" w:ascii="宋体" w:hAnsi="宋体" w:eastAsiaTheme="minorEastAsia"/>
          <w:sz w:val="24"/>
          <w:lang w:val="en-US" w:eastAsia="zh-CN"/>
        </w:rPr>
      </w:pPr>
      <w:r>
        <w:rPr>
          <w:rFonts w:hint="eastAsia" w:ascii="宋体" w:hAnsi="宋体"/>
          <w:sz w:val="24"/>
        </w:rPr>
        <w:t>甲方：厦门港务</w:t>
      </w:r>
      <w:r>
        <w:rPr>
          <w:rFonts w:hint="eastAsia" w:ascii="宋体" w:hAnsi="宋体"/>
          <w:sz w:val="24"/>
          <w:lang w:val="en-US" w:eastAsia="zh-CN"/>
        </w:rPr>
        <w:t>疏浚工程有限公司</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13"/>
        <w:gridCol w:w="3385"/>
        <w:gridCol w:w="3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251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338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w:t>
            </w:r>
            <w:r>
              <w:rPr>
                <w:rFonts w:hint="eastAsia" w:ascii="宋体" w:hAnsi="宋体"/>
                <w:sz w:val="24"/>
                <w:lang w:val="en-US" w:eastAsia="zh-CN"/>
              </w:rPr>
              <w:t>20</w:t>
            </w:r>
            <w:r>
              <w:rPr>
                <w:rFonts w:hint="eastAsia" w:ascii="宋体" w:hAnsi="宋体"/>
                <w:sz w:val="24"/>
              </w:rPr>
              <w:t>㎡</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1</w:t>
            </w:r>
          </w:p>
        </w:tc>
        <w:tc>
          <w:tcPr>
            <w:tcW w:w="2094"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无</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p>
    <w:p>
      <w:pPr>
        <w:spacing w:line="360" w:lineRule="auto"/>
        <w:ind w:right="800" w:rightChars="250"/>
        <w:rPr>
          <w:rFonts w:cs="华文中宋" w:asciiTheme="minorEastAsia" w:hAnsiTheme="minorEastAsia"/>
          <w:b/>
          <w:bCs/>
          <w:szCs w:val="32"/>
        </w:rPr>
      </w:pPr>
      <w:r>
        <w:rPr>
          <w:rFonts w:hint="eastAsia" w:cs="华文中宋" w:asciiTheme="minorEastAsia" w:hAnsiTheme="minorEastAsia"/>
          <w:b/>
          <w:bCs/>
          <w:szCs w:val="32"/>
        </w:rPr>
        <w:t>附件2</w:t>
      </w:r>
    </w:p>
    <w:p>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甲方（出租方）：厦门港务疏浚工程有限公司</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乙方（承租方）：</w:t>
      </w:r>
      <w:r>
        <w:rPr>
          <w:rFonts w:ascii="宋体" w:hAnsi="宋体" w:cs="仿宋"/>
          <w:sz w:val="24"/>
        </w:rPr>
        <w:t xml:space="preserve"> </w:t>
      </w:r>
    </w:p>
    <w:p>
      <w:pPr>
        <w:pStyle w:val="3"/>
        <w:tabs>
          <w:tab w:val="left" w:pos="720"/>
          <w:tab w:val="left" w:pos="1134"/>
        </w:tabs>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.配合公安机关、国家安全机关及其他执法机关对违法犯罪案件进行调查取证等工作。</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.保守乙方提供的员工名单及基本情况资料之秘密，拒绝非法律规定的查阅。</w:t>
      </w:r>
    </w:p>
    <w:p>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6.严禁携带易燃、易爆、剧毒、腐蚀性和放射性等危险品进入经营区域,不得在经营区域内存放上述危险品。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8.在乙方长期工作的人员必须到相关管理部门办理相关手续并注册登记。</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9.乙方的员工应持有合法身份证件、工作证、外地人员应有暂住证。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14.严禁乱拉临时线或增加大功率设备，如确需接拉电线或增加大功率设备，必须经甲方同意后方可实施。</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15.废弃物品应及时清理，所摆放物品不得阻塞消防通道。</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pPr>
        <w:spacing w:line="500" w:lineRule="exact"/>
        <w:ind w:left="1161" w:leftChars="250" w:right="320" w:rightChars="100" w:hanging="361" w:hangingChars="150"/>
        <w:rPr>
          <w:rFonts w:asciiTheme="minorEastAsia" w:hAnsiTheme="minorEastAsia"/>
          <w:b/>
          <w:sz w:val="24"/>
        </w:rPr>
      </w:pPr>
      <w:r>
        <w:rPr>
          <w:rFonts w:hint="eastAsia" w:asciiTheme="minorEastAsia" w:hAnsiTheme="minorEastAsia"/>
          <w:b/>
          <w:sz w:val="24"/>
        </w:rPr>
        <w:t>三、其他</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pPr>
        <w:pStyle w:val="3"/>
        <w:tabs>
          <w:tab w:val="left" w:pos="840"/>
        </w:tabs>
        <w:spacing w:line="500" w:lineRule="exact"/>
        <w:ind w:right="320" w:rightChars="100" w:firstLine="480" w:firstLineChars="20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4.此责任书经双方签署后生效，责任书一式贰份，具有同等效力，由甲、乙双方各持一份。</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hint="eastAsia" w:asciiTheme="minorEastAsia" w:hAnsiTheme="minorEastAsia"/>
          <w:sz w:val="24"/>
          <w:szCs w:val="24"/>
          <w:lang w:val="en-US" w:eastAsia="zh-CN"/>
        </w:rPr>
        <w:t xml:space="preserve"> </w:t>
      </w:r>
      <w:r>
        <w:rPr>
          <w:rFonts w:hint="eastAsia" w:asciiTheme="minorEastAsia" w:hAnsiTheme="minorEastAsia"/>
          <w:sz w:val="24"/>
          <w:szCs w:val="24"/>
          <w:u w:val="single"/>
          <w:lang w:val="en-US" w:eastAsia="zh-CN"/>
        </w:rPr>
        <w:t xml:space="preserve">             </w:t>
      </w:r>
      <w:r>
        <w:rPr>
          <w:rFonts w:hAnsi="宋体"/>
          <w:sz w:val="24"/>
          <w:u w:val="single"/>
        </w:rPr>
        <w:t xml:space="preserve">  </w:t>
      </w:r>
      <w:r>
        <w:rPr>
          <w:rFonts w:asciiTheme="minorEastAsia" w:hAnsiTheme="minorEastAsia"/>
          <w:sz w:val="24"/>
          <w:szCs w:val="24"/>
        </w:rPr>
        <w:t>的《房屋租赁合同》中约定的争议解决方式处理。</w:t>
      </w:r>
    </w:p>
    <w:p>
      <w:pPr>
        <w:pStyle w:val="3"/>
        <w:spacing w:line="500" w:lineRule="exact"/>
        <w:ind w:left="420"/>
        <w:rPr>
          <w:rFonts w:hint="default" w:asciiTheme="minorEastAsia" w:hAnsiTheme="minorEastAsia"/>
          <w:sz w:val="24"/>
          <w:szCs w:val="24"/>
        </w:rPr>
      </w:pPr>
    </w:p>
    <w:p>
      <w:pPr>
        <w:spacing w:line="480" w:lineRule="auto"/>
        <w:jc w:val="left"/>
        <w:rPr>
          <w:rFonts w:asciiTheme="minorEastAsia" w:hAnsiTheme="minorEastAsia"/>
          <w:sz w:val="24"/>
        </w:rPr>
      </w:pPr>
      <w:r>
        <w:rPr>
          <w:rFonts w:hint="eastAsia" w:asciiTheme="minorEastAsia" w:hAnsiTheme="minorEastAsia"/>
          <w:sz w:val="24"/>
        </w:rPr>
        <w:t>甲方（出租方/盖章）：                      乙方（承租方/盖章）：</w:t>
      </w:r>
    </w:p>
    <w:p>
      <w:pPr>
        <w:spacing w:line="480" w:lineRule="auto"/>
        <w:jc w:val="left"/>
        <w:rPr>
          <w:rFonts w:asciiTheme="minorEastAsia" w:hAnsiTheme="minorEastAsia"/>
          <w:sz w:val="24"/>
        </w:rPr>
      </w:pPr>
      <w:r>
        <w:rPr>
          <w:rFonts w:hint="eastAsia" w:asciiTheme="minorEastAsia" w:hAnsiTheme="minorEastAsia"/>
          <w:sz w:val="24"/>
        </w:rPr>
        <w:t xml:space="preserve">                               </w:t>
      </w:r>
    </w:p>
    <w:p>
      <w:pPr>
        <w:spacing w:line="320" w:lineRule="exact"/>
        <w:ind w:right="482"/>
        <w:rPr>
          <w:rFonts w:asciiTheme="minorEastAsia" w:hAnsiTheme="minorEastAsia"/>
          <w:sz w:val="24"/>
        </w:rPr>
      </w:pPr>
    </w:p>
    <w:p>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pPr>
        <w:spacing w:line="360" w:lineRule="auto"/>
        <w:ind w:right="482" w:firstLine="2160" w:firstLineChars="900"/>
        <w:rPr>
          <w:rFonts w:asciiTheme="minorEastAsia" w:hAnsiTheme="minorEastAsia"/>
          <w:sz w:val="24"/>
        </w:rPr>
      </w:pPr>
      <w:r>
        <w:rPr>
          <w:rFonts w:hint="eastAsia" w:asciiTheme="minorEastAsia" w:hAnsiTheme="minorEastAsia"/>
          <w:sz w:val="24"/>
        </w:rPr>
        <w:t>签订日期：      年    月     日</w:t>
      </w:r>
    </w:p>
    <w:p>
      <w:pPr>
        <w:spacing w:line="500" w:lineRule="exact"/>
        <w:rPr>
          <w:rFonts w:asciiTheme="minorEastAsia" w:hAnsiTheme="minorEastAsia"/>
          <w:sz w:val="24"/>
        </w:rPr>
      </w:pPr>
    </w:p>
    <w:p>
      <w:pPr>
        <w:shd w:val="clear" w:color="auto" w:fill="FFFFFF"/>
        <w:snapToGrid w:val="0"/>
      </w:pPr>
    </w:p>
    <w:p>
      <w:pPr>
        <w:shd w:val="clear" w:color="auto" w:fill="FFFFFF"/>
        <w:snapToGrid w:val="0"/>
        <w:rPr>
          <w:rFonts w:hint="eastAsia"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182C3"/>
    <w:multiLevelType w:val="singleLevel"/>
    <w:tmpl w:val="D86182C3"/>
    <w:lvl w:ilvl="0" w:tentative="0">
      <w:start w:val="2"/>
      <w:numFmt w:val="decimal"/>
      <w:suff w:val="nothing"/>
      <w:lvlText w:val="%1、"/>
      <w:lvlJc w:val="left"/>
      <w:pPr>
        <w:ind w:left="480" w:leftChars="0" w:firstLine="0" w:firstLineChars="0"/>
      </w:pPr>
    </w:lvl>
  </w:abstractNum>
  <w:abstractNum w:abstractNumId="1">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EB67B99"/>
    <w:multiLevelType w:val="singleLevel"/>
    <w:tmpl w:val="5EB67B99"/>
    <w:lvl w:ilvl="0" w:tentative="0">
      <w:start w:val="11"/>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ZWE0ZWU4NTkwOWQ4YmM3ODUzODQzNzEyNmMwMWEifQ=="/>
  </w:docVars>
  <w:rsids>
    <w:rsidRoot w:val="3B02257C"/>
    <w:rsid w:val="001D7A22"/>
    <w:rsid w:val="001E1082"/>
    <w:rsid w:val="00243146"/>
    <w:rsid w:val="006575E3"/>
    <w:rsid w:val="00800C70"/>
    <w:rsid w:val="0091253D"/>
    <w:rsid w:val="00941B80"/>
    <w:rsid w:val="00F9560E"/>
    <w:rsid w:val="01D50629"/>
    <w:rsid w:val="02393E60"/>
    <w:rsid w:val="02661A7B"/>
    <w:rsid w:val="02754E73"/>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907B16"/>
    <w:rsid w:val="0EB461B9"/>
    <w:rsid w:val="0FA97B3F"/>
    <w:rsid w:val="105D5064"/>
    <w:rsid w:val="108B0131"/>
    <w:rsid w:val="10B95954"/>
    <w:rsid w:val="11B91E88"/>
    <w:rsid w:val="124876AC"/>
    <w:rsid w:val="12A159E7"/>
    <w:rsid w:val="134D4356"/>
    <w:rsid w:val="13FB304F"/>
    <w:rsid w:val="141E0D33"/>
    <w:rsid w:val="14611FA1"/>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CD0C12"/>
    <w:rsid w:val="32E26388"/>
    <w:rsid w:val="3309404A"/>
    <w:rsid w:val="33C40EFA"/>
    <w:rsid w:val="33E02094"/>
    <w:rsid w:val="34401B48"/>
    <w:rsid w:val="34824B29"/>
    <w:rsid w:val="34A236AF"/>
    <w:rsid w:val="34A317AB"/>
    <w:rsid w:val="354A0EBB"/>
    <w:rsid w:val="35820B8F"/>
    <w:rsid w:val="35A21128"/>
    <w:rsid w:val="369557CC"/>
    <w:rsid w:val="37517393"/>
    <w:rsid w:val="37F43CFB"/>
    <w:rsid w:val="38541010"/>
    <w:rsid w:val="38673E0C"/>
    <w:rsid w:val="387F4F3E"/>
    <w:rsid w:val="39130FDF"/>
    <w:rsid w:val="39197139"/>
    <w:rsid w:val="39594D23"/>
    <w:rsid w:val="396C295B"/>
    <w:rsid w:val="39DB266F"/>
    <w:rsid w:val="3A017ABA"/>
    <w:rsid w:val="3B02257C"/>
    <w:rsid w:val="3B461A2C"/>
    <w:rsid w:val="3B6C6D0D"/>
    <w:rsid w:val="3BC50692"/>
    <w:rsid w:val="3C5328C5"/>
    <w:rsid w:val="3C9402AB"/>
    <w:rsid w:val="3D6C4254"/>
    <w:rsid w:val="3DA34C37"/>
    <w:rsid w:val="3DA443AE"/>
    <w:rsid w:val="3DFA6CE1"/>
    <w:rsid w:val="3E4E758A"/>
    <w:rsid w:val="3E666D1A"/>
    <w:rsid w:val="3E895925"/>
    <w:rsid w:val="3EF32DD6"/>
    <w:rsid w:val="3EF44FD4"/>
    <w:rsid w:val="3F3106BC"/>
    <w:rsid w:val="3F3E5024"/>
    <w:rsid w:val="3FFB7D85"/>
    <w:rsid w:val="404104F9"/>
    <w:rsid w:val="406C1A82"/>
    <w:rsid w:val="40822132"/>
    <w:rsid w:val="40F3251B"/>
    <w:rsid w:val="41434486"/>
    <w:rsid w:val="41670C44"/>
    <w:rsid w:val="41772D41"/>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9891F30"/>
    <w:rsid w:val="4A45486E"/>
    <w:rsid w:val="4A8F3FE1"/>
    <w:rsid w:val="4AAE1013"/>
    <w:rsid w:val="4BE934B1"/>
    <w:rsid w:val="4C357B95"/>
    <w:rsid w:val="4CD8215C"/>
    <w:rsid w:val="4D1A35EC"/>
    <w:rsid w:val="4DD34B41"/>
    <w:rsid w:val="4E887D81"/>
    <w:rsid w:val="4F497423"/>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C159F6"/>
    <w:rsid w:val="5B3A7AB8"/>
    <w:rsid w:val="5BE9226B"/>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3A729D"/>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87B1D48"/>
    <w:rsid w:val="690B0401"/>
    <w:rsid w:val="690F76E0"/>
    <w:rsid w:val="69AB2D6B"/>
    <w:rsid w:val="69E64754"/>
    <w:rsid w:val="6A151116"/>
    <w:rsid w:val="6A407354"/>
    <w:rsid w:val="6A421FE5"/>
    <w:rsid w:val="6A9F452C"/>
    <w:rsid w:val="6B100B85"/>
    <w:rsid w:val="6B812B60"/>
    <w:rsid w:val="6C29381F"/>
    <w:rsid w:val="6C7967B0"/>
    <w:rsid w:val="6CAA0FAB"/>
    <w:rsid w:val="6D5E0D38"/>
    <w:rsid w:val="6D621B30"/>
    <w:rsid w:val="6DAB266A"/>
    <w:rsid w:val="6DCA5A26"/>
    <w:rsid w:val="6DD455E6"/>
    <w:rsid w:val="6E3B7C02"/>
    <w:rsid w:val="6ECF592F"/>
    <w:rsid w:val="6F030425"/>
    <w:rsid w:val="6F0C4603"/>
    <w:rsid w:val="6F695A23"/>
    <w:rsid w:val="708B6751"/>
    <w:rsid w:val="70C11BC9"/>
    <w:rsid w:val="71057E82"/>
    <w:rsid w:val="713D7656"/>
    <w:rsid w:val="71960232"/>
    <w:rsid w:val="71E27710"/>
    <w:rsid w:val="71E76645"/>
    <w:rsid w:val="725E68EA"/>
    <w:rsid w:val="725E7487"/>
    <w:rsid w:val="728D3D7E"/>
    <w:rsid w:val="732919FE"/>
    <w:rsid w:val="73923899"/>
    <w:rsid w:val="73F44A4C"/>
    <w:rsid w:val="7408106C"/>
    <w:rsid w:val="747E6AAC"/>
    <w:rsid w:val="760E3D2F"/>
    <w:rsid w:val="7622186C"/>
    <w:rsid w:val="76E76DD1"/>
    <w:rsid w:val="77950557"/>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18</TotalTime>
  <ScaleCrop>false</ScaleCrop>
  <LinksUpToDate>false</LinksUpToDate>
  <CharactersWithSpaces>10361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李玉琳</cp:lastModifiedBy>
  <cp:lastPrinted>2022-07-19T08:31:00Z</cp:lastPrinted>
  <dcterms:modified xsi:type="dcterms:W3CDTF">2023-03-03T06:50:08Z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BB6667660A1A429684477E8611BCBEC2</vt:lpwstr>
  </property>
</Properties>
</file>